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9CF6" w14:textId="7F2CD646" w:rsidR="00583AE0" w:rsidRDefault="00583AE0" w:rsidP="001E4FA2">
      <w:pPr>
        <w:spacing w:after="0"/>
        <w:jc w:val="center"/>
        <w:rPr>
          <w:b/>
          <w:sz w:val="36"/>
        </w:rPr>
      </w:pPr>
      <w:r w:rsidRPr="00110EB1">
        <w:rPr>
          <w:b/>
          <w:sz w:val="36"/>
        </w:rPr>
        <w:t xml:space="preserve">Délibération </w:t>
      </w:r>
      <w:r w:rsidR="00110EB1" w:rsidRPr="00110EB1">
        <w:rPr>
          <w:b/>
          <w:sz w:val="36"/>
        </w:rPr>
        <w:t xml:space="preserve">relative </w:t>
      </w:r>
      <w:r w:rsidR="008D7181">
        <w:rPr>
          <w:b/>
          <w:sz w:val="36"/>
        </w:rPr>
        <w:t xml:space="preserve">au </w:t>
      </w:r>
      <w:r w:rsidR="00110EB1" w:rsidRPr="00110EB1">
        <w:rPr>
          <w:b/>
          <w:sz w:val="36"/>
        </w:rPr>
        <w:t xml:space="preserve">décompte du temps de travail </w:t>
      </w:r>
      <w:r w:rsidR="00110EB1" w:rsidRPr="00110EB1">
        <w:rPr>
          <w:b/>
          <w:sz w:val="36"/>
        </w:rPr>
        <w:br/>
        <w:t>des agents publics</w:t>
      </w:r>
    </w:p>
    <w:p w14:paraId="76253EED" w14:textId="6C91700D" w:rsidR="00F705B7" w:rsidRPr="00F705B7" w:rsidRDefault="00F705B7" w:rsidP="001E4FA2">
      <w:pPr>
        <w:spacing w:after="0"/>
        <w:jc w:val="center"/>
        <w:rPr>
          <w:bCs/>
          <w:i/>
          <w:iCs/>
          <w:color w:val="FF0000"/>
          <w:sz w:val="28"/>
          <w:szCs w:val="18"/>
        </w:rPr>
      </w:pPr>
      <w:r w:rsidRPr="00F705B7">
        <w:rPr>
          <w:bCs/>
          <w:i/>
          <w:iCs/>
          <w:color w:val="FF0000"/>
          <w:sz w:val="28"/>
          <w:szCs w:val="18"/>
        </w:rPr>
        <w:t>(</w:t>
      </w:r>
      <w:proofErr w:type="gramStart"/>
      <w:r w:rsidRPr="00F705B7">
        <w:rPr>
          <w:bCs/>
          <w:i/>
          <w:iCs/>
          <w:color w:val="FF0000"/>
          <w:sz w:val="28"/>
          <w:szCs w:val="18"/>
        </w:rPr>
        <w:t>modèle</w:t>
      </w:r>
      <w:proofErr w:type="gramEnd"/>
      <w:r w:rsidRPr="00F705B7">
        <w:rPr>
          <w:bCs/>
          <w:i/>
          <w:iCs/>
          <w:color w:val="FF0000"/>
          <w:sz w:val="28"/>
          <w:szCs w:val="18"/>
        </w:rPr>
        <w:t xml:space="preserve"> réservé aux collectivités territoriales et établissements publics </w:t>
      </w:r>
      <w:r w:rsidRPr="00F705B7">
        <w:rPr>
          <w:bCs/>
          <w:i/>
          <w:iCs/>
          <w:color w:val="FF0000"/>
          <w:sz w:val="28"/>
          <w:szCs w:val="18"/>
        </w:rPr>
        <w:br/>
        <w:t>relevant du Comité Technique du CDG68)</w:t>
      </w:r>
    </w:p>
    <w:p w14:paraId="558E42D6" w14:textId="77777777" w:rsidR="001E4FA2" w:rsidRPr="00110EB1" w:rsidRDefault="001E4FA2" w:rsidP="001E4FA2">
      <w:pPr>
        <w:spacing w:after="0"/>
        <w:ind w:left="1410" w:hanging="1410"/>
        <w:jc w:val="both"/>
        <w:rPr>
          <w:u w:val="single"/>
        </w:rPr>
      </w:pPr>
    </w:p>
    <w:p w14:paraId="4DA6F1CB" w14:textId="157DD5AB" w:rsidR="00583AE0" w:rsidRPr="00110EB1" w:rsidRDefault="00583AE0" w:rsidP="00110EB1">
      <w:pPr>
        <w:spacing w:after="0"/>
        <w:ind w:left="1410" w:hanging="1410"/>
        <w:jc w:val="both"/>
      </w:pPr>
      <w:r w:rsidRPr="00110EB1">
        <w:rPr>
          <w:u w:val="single"/>
        </w:rPr>
        <w:t>Objet</w:t>
      </w:r>
      <w:r w:rsidRPr="00110EB1">
        <w:t xml:space="preserve"> : </w:t>
      </w:r>
      <w:r w:rsidRPr="00110EB1">
        <w:tab/>
      </w:r>
      <w:r w:rsidRPr="00110EB1">
        <w:tab/>
      </w:r>
      <w:r w:rsidR="00110EB1" w:rsidRPr="00110EB1">
        <w:t>Décompte du temps de travail des agents publics</w:t>
      </w:r>
    </w:p>
    <w:p w14:paraId="1896E1B9" w14:textId="77777777" w:rsidR="001E4FA2" w:rsidRPr="00110EB1" w:rsidRDefault="001E4FA2" w:rsidP="001E4FA2">
      <w:pPr>
        <w:spacing w:after="0"/>
        <w:ind w:left="1410" w:hanging="1410"/>
        <w:jc w:val="both"/>
      </w:pPr>
    </w:p>
    <w:p w14:paraId="6F5E3C0A" w14:textId="77777777" w:rsidR="00583AE0" w:rsidRPr="00937000" w:rsidRDefault="00583AE0" w:rsidP="001E4FA2">
      <w:pPr>
        <w:spacing w:after="0"/>
        <w:jc w:val="both"/>
        <w:rPr>
          <w:b/>
          <w:sz w:val="24"/>
        </w:rPr>
      </w:pPr>
      <w:r w:rsidRPr="00110EB1">
        <w:rPr>
          <w:b/>
          <w:sz w:val="24"/>
        </w:rPr>
        <w:t>L’organe délibérant,</w:t>
      </w:r>
    </w:p>
    <w:p w14:paraId="0D323091" w14:textId="77777777" w:rsidR="001E4FA2" w:rsidRPr="00937000" w:rsidRDefault="001E4FA2" w:rsidP="001E4FA2">
      <w:pPr>
        <w:spacing w:after="0"/>
        <w:jc w:val="both"/>
      </w:pPr>
    </w:p>
    <w:p w14:paraId="597DD190" w14:textId="3C3BF697" w:rsidR="00583AE0" w:rsidRPr="00937000" w:rsidRDefault="00583AE0" w:rsidP="006E7E9C">
      <w:pPr>
        <w:tabs>
          <w:tab w:val="left" w:pos="6331"/>
        </w:tabs>
        <w:spacing w:after="0"/>
        <w:jc w:val="both"/>
      </w:pPr>
      <w:r w:rsidRPr="00937000">
        <w:t>Sur rapport de l’autorité territoriale,</w:t>
      </w:r>
      <w:r w:rsidR="006E7E9C">
        <w:tab/>
      </w:r>
    </w:p>
    <w:p w14:paraId="4ADD6591" w14:textId="77777777" w:rsidR="001E4FA2" w:rsidRPr="00937000" w:rsidRDefault="001E4FA2" w:rsidP="001E4FA2">
      <w:pPr>
        <w:spacing w:after="0"/>
        <w:jc w:val="both"/>
      </w:pPr>
    </w:p>
    <w:p w14:paraId="2F41684C" w14:textId="48C0ED13" w:rsidR="00583AE0" w:rsidRPr="00937000" w:rsidRDefault="00583AE0" w:rsidP="00DA7B99">
      <w:pPr>
        <w:spacing w:after="0" w:line="240" w:lineRule="auto"/>
        <w:ind w:left="705" w:hanging="705"/>
        <w:jc w:val="both"/>
      </w:pPr>
      <w:r w:rsidRPr="00937000">
        <w:t xml:space="preserve">Vu </w:t>
      </w:r>
      <w:r w:rsidRPr="00937000">
        <w:tab/>
        <w:t xml:space="preserve">la loi n° 84-53 du 26 janvier 1984 portant dispositions statutaires relatives à la </w:t>
      </w:r>
      <w:r w:rsidR="00BD1FF3" w:rsidRPr="00937000">
        <w:t xml:space="preserve">fonction publique territoriale, et notamment </w:t>
      </w:r>
      <w:r w:rsidR="005B1B92" w:rsidRPr="00937000">
        <w:t xml:space="preserve">son article </w:t>
      </w:r>
      <w:r w:rsidR="00937000" w:rsidRPr="00937000">
        <w:t>7-1</w:t>
      </w:r>
      <w:r w:rsidR="005B1B92" w:rsidRPr="00937000">
        <w:t> ;</w:t>
      </w:r>
    </w:p>
    <w:p w14:paraId="2714A1A1" w14:textId="77777777" w:rsidR="00937000" w:rsidRPr="00937000" w:rsidRDefault="00992A0F" w:rsidP="00937000">
      <w:pPr>
        <w:spacing w:after="0" w:line="240" w:lineRule="auto"/>
        <w:ind w:left="705" w:hanging="705"/>
        <w:jc w:val="both"/>
      </w:pPr>
      <w:r w:rsidRPr="00937000">
        <w:t>Vu</w:t>
      </w:r>
      <w:r w:rsidRPr="00937000">
        <w:tab/>
      </w:r>
      <w:r w:rsidR="00937000" w:rsidRPr="00937000">
        <w:t>le décret n° 2000-815 du 25 août 2000 relatif à l'aménagement et à la réduction du temps de travail dans la fonction publique de l'Etat et dans la magistrature ;</w:t>
      </w:r>
    </w:p>
    <w:p w14:paraId="29D06FC1" w14:textId="77777777" w:rsidR="00937000" w:rsidRPr="00937000" w:rsidRDefault="00937000" w:rsidP="00937000">
      <w:pPr>
        <w:spacing w:after="0" w:line="240" w:lineRule="auto"/>
        <w:ind w:left="705" w:hanging="705"/>
        <w:jc w:val="both"/>
      </w:pPr>
      <w:r w:rsidRPr="00937000">
        <w:t>Vu</w:t>
      </w:r>
      <w:r w:rsidRPr="00937000">
        <w:tab/>
        <w:t>le décret n° 2001-623 du 12 juillet 2001 pris pour l'application de l'article 7-1 de la loi n° 84-53 du 26 janvier 1984 susvisée ;</w:t>
      </w:r>
    </w:p>
    <w:p w14:paraId="5450B92B" w14:textId="37DC8DCC" w:rsidR="00937000" w:rsidRPr="0082233A" w:rsidRDefault="00937000" w:rsidP="00937000">
      <w:pPr>
        <w:spacing w:after="0" w:line="240" w:lineRule="auto"/>
        <w:ind w:left="705" w:hanging="705"/>
        <w:jc w:val="both"/>
      </w:pPr>
      <w:r w:rsidRPr="00937000">
        <w:t>Vu</w:t>
      </w:r>
      <w:r w:rsidRPr="00937000">
        <w:tab/>
        <w:t xml:space="preserve">la </w:t>
      </w:r>
      <w:r w:rsidRPr="0082233A">
        <w:t>circulaire ministérielle NOR RDFF1710891C du 31 mars 2017 relative à l’application des règles en matière de temps de travail dans les trois versants de la fonction publique ;</w:t>
      </w:r>
    </w:p>
    <w:p w14:paraId="2338A985" w14:textId="31C9C0AD" w:rsidR="00937000" w:rsidRPr="0082233A" w:rsidRDefault="00937000" w:rsidP="00937000">
      <w:pPr>
        <w:spacing w:after="0" w:line="240" w:lineRule="auto"/>
        <w:ind w:left="705" w:hanging="705"/>
        <w:jc w:val="both"/>
      </w:pPr>
      <w:r w:rsidRPr="0082233A">
        <w:t>Vu</w:t>
      </w:r>
      <w:r w:rsidRPr="0082233A">
        <w:tab/>
        <w:t xml:space="preserve">la réponse </w:t>
      </w:r>
      <w:r w:rsidR="00A3143B">
        <w:t xml:space="preserve">du </w:t>
      </w:r>
      <w:proofErr w:type="gramStart"/>
      <w:r w:rsidR="00A3143B">
        <w:t>Préfet</w:t>
      </w:r>
      <w:proofErr w:type="gramEnd"/>
      <w:r w:rsidRPr="0082233A">
        <w:t xml:space="preserve"> du </w:t>
      </w:r>
      <w:r w:rsidR="00C62D02" w:rsidRPr="0082233A">
        <w:t>Haut-Rhin </w:t>
      </w:r>
      <w:r w:rsidRPr="0082233A">
        <w:t>du 10 mars 2021</w:t>
      </w:r>
      <w:r w:rsidR="00A3143B">
        <w:t xml:space="preserve"> à la question du Président </w:t>
      </w:r>
      <w:r w:rsidR="00A3143B" w:rsidRPr="00A3143B">
        <w:t>du Centre de Gestion FPT du Haut-Rhin</w:t>
      </w:r>
      <w:r w:rsidR="00A3143B">
        <w:t xml:space="preserve"> du 26 janvier 2021 </w:t>
      </w:r>
      <w:r w:rsidRPr="0082233A">
        <w:t>;</w:t>
      </w:r>
    </w:p>
    <w:p w14:paraId="48980F3E" w14:textId="068DA014" w:rsidR="00C529F0" w:rsidRDefault="00C529F0" w:rsidP="00937000">
      <w:pPr>
        <w:spacing w:after="0" w:line="240" w:lineRule="auto"/>
        <w:ind w:left="705" w:hanging="705"/>
        <w:jc w:val="both"/>
      </w:pPr>
      <w:r w:rsidRPr="0082233A">
        <w:t>Vu</w:t>
      </w:r>
      <w:r w:rsidRPr="0082233A">
        <w:tab/>
        <w:t>l’avis de principe rendu en date du 16 mars 2021 par le comité technique du Centre de Gestion FPT du Haut-Rhin relatif au décompte du temps de travail des agents publics réalisé sur la base d'une durée annuelle de travail effectif de 1 607 heures</w:t>
      </w:r>
      <w:r w:rsidR="0082233A" w:rsidRPr="0082233A">
        <w:t xml:space="preserve"> ;</w:t>
      </w:r>
    </w:p>
    <w:p w14:paraId="0242CFAC" w14:textId="44914EDD" w:rsidR="00E20565" w:rsidRPr="0082233A" w:rsidRDefault="00E20565" w:rsidP="00937000">
      <w:pPr>
        <w:spacing w:after="0" w:line="240" w:lineRule="auto"/>
        <w:ind w:left="705" w:hanging="705"/>
        <w:jc w:val="both"/>
      </w:pPr>
      <w:r>
        <w:t>Vu</w:t>
      </w:r>
      <w:r>
        <w:tab/>
        <w:t>le modèle de délibération proposé par le Centre de Gestion FPT du Haut-Rhin ;</w:t>
      </w:r>
    </w:p>
    <w:p w14:paraId="26D9B38A" w14:textId="77777777" w:rsidR="001E4FA2" w:rsidRPr="0082233A" w:rsidRDefault="001E4FA2" w:rsidP="001E4FA2">
      <w:pPr>
        <w:spacing w:after="0" w:line="240" w:lineRule="auto"/>
        <w:ind w:left="705" w:hanging="705"/>
        <w:jc w:val="both"/>
      </w:pPr>
    </w:p>
    <w:p w14:paraId="05BB7973" w14:textId="77777777" w:rsidR="00C529F0" w:rsidRPr="0082233A" w:rsidRDefault="00C529F0" w:rsidP="00C529F0">
      <w:pPr>
        <w:spacing w:after="0" w:line="240" w:lineRule="auto"/>
        <w:ind w:left="705" w:hanging="705"/>
        <w:jc w:val="both"/>
      </w:pPr>
      <w:r w:rsidRPr="0082233A">
        <w:t>Considérant que l’article 47 de de la loi n° 2019-828 du 6 août 2019 de transformation de la fonction publique abroge le fondement légal ayant permis le maintien de régimes dérogatoires à la durée légale du travail (1 607 heures) ;</w:t>
      </w:r>
    </w:p>
    <w:p w14:paraId="141FF87F" w14:textId="77777777" w:rsidR="00C529F0" w:rsidRPr="0082233A" w:rsidRDefault="00C529F0" w:rsidP="00C529F0">
      <w:pPr>
        <w:spacing w:after="0" w:line="240" w:lineRule="auto"/>
        <w:ind w:left="705" w:hanging="705"/>
        <w:jc w:val="both"/>
      </w:pPr>
    </w:p>
    <w:p w14:paraId="507831ED" w14:textId="46526591" w:rsidR="0082233A" w:rsidRPr="0082233A" w:rsidRDefault="00C529F0" w:rsidP="00C529F0">
      <w:pPr>
        <w:spacing w:after="0" w:line="240" w:lineRule="auto"/>
        <w:ind w:left="705" w:hanging="705"/>
        <w:jc w:val="both"/>
      </w:pPr>
      <w:r w:rsidRPr="0082233A">
        <w:t>Considérant que les collectivités territoriales et les établissements publics disposent d'un délai d'un an à compter du renouvellement de leurs assemblées délibérantes pour définir les règles relatives au temps de travail de leurs agents</w:t>
      </w:r>
      <w:r w:rsidR="0082233A">
        <w:t> ;</w:t>
      </w:r>
    </w:p>
    <w:p w14:paraId="2169FE64" w14:textId="77777777" w:rsidR="0082233A" w:rsidRPr="0082233A" w:rsidRDefault="0082233A" w:rsidP="00C529F0">
      <w:pPr>
        <w:spacing w:after="0" w:line="240" w:lineRule="auto"/>
        <w:ind w:left="705" w:hanging="705"/>
        <w:jc w:val="both"/>
      </w:pPr>
    </w:p>
    <w:p w14:paraId="1A21B425" w14:textId="7BE832B2" w:rsidR="00C529F0" w:rsidRPr="0082233A" w:rsidRDefault="0082233A" w:rsidP="00C529F0">
      <w:pPr>
        <w:spacing w:after="0" w:line="240" w:lineRule="auto"/>
        <w:ind w:left="705" w:hanging="705"/>
        <w:jc w:val="both"/>
      </w:pPr>
      <w:r w:rsidRPr="0082233A">
        <w:t>Considérant que c</w:t>
      </w:r>
      <w:r w:rsidR="00C529F0" w:rsidRPr="0082233A">
        <w:t>es règles devront entrer en application au plus tard le 1</w:t>
      </w:r>
      <w:r w:rsidR="00C529F0" w:rsidRPr="0082233A">
        <w:rPr>
          <w:vertAlign w:val="superscript"/>
        </w:rPr>
        <w:t>er</w:t>
      </w:r>
      <w:r>
        <w:t xml:space="preserve"> </w:t>
      </w:r>
      <w:r w:rsidR="00C529F0" w:rsidRPr="0082233A">
        <w:t>janvier suivant leur définition</w:t>
      </w:r>
      <w:r>
        <w:t> ;</w:t>
      </w:r>
    </w:p>
    <w:p w14:paraId="5CA331E6" w14:textId="77777777" w:rsidR="00C529F0" w:rsidRPr="0082233A" w:rsidRDefault="00C529F0" w:rsidP="001E4FA2">
      <w:pPr>
        <w:spacing w:after="0" w:line="240" w:lineRule="auto"/>
        <w:ind w:left="705" w:hanging="705"/>
        <w:jc w:val="both"/>
      </w:pPr>
    </w:p>
    <w:p w14:paraId="08C98C94" w14:textId="0C17D3BB" w:rsidR="0070507F" w:rsidRDefault="0070507F" w:rsidP="001E4FA2">
      <w:pPr>
        <w:spacing w:after="0" w:line="240" w:lineRule="auto"/>
        <w:ind w:left="705" w:hanging="705"/>
        <w:jc w:val="both"/>
      </w:pPr>
      <w:r w:rsidRPr="0082233A">
        <w:t xml:space="preserve">Considérant que </w:t>
      </w:r>
      <w:r w:rsidR="00DA1DCB" w:rsidRPr="0082233A">
        <w:t xml:space="preserve">le décompte </w:t>
      </w:r>
      <w:r w:rsidR="0082233A" w:rsidRPr="0082233A">
        <w:t xml:space="preserve">actuel </w:t>
      </w:r>
      <w:r w:rsidR="00DA1DCB" w:rsidRPr="0082233A">
        <w:t xml:space="preserve">du temps de travail des agents publics </w:t>
      </w:r>
      <w:r w:rsidR="00C529F0" w:rsidRPr="0082233A">
        <w:t xml:space="preserve">tient </w:t>
      </w:r>
      <w:r w:rsidR="008D7181">
        <w:t xml:space="preserve">expressément </w:t>
      </w:r>
      <w:r w:rsidR="00C529F0" w:rsidRPr="0082233A">
        <w:t xml:space="preserve">compte des </w:t>
      </w:r>
      <w:r w:rsidR="0082233A">
        <w:t xml:space="preserve">deux </w:t>
      </w:r>
      <w:r w:rsidR="00C529F0" w:rsidRPr="0082233A">
        <w:t>jours fériés locaux </w:t>
      </w:r>
      <w:r w:rsidR="00110EB1">
        <w:t>(l</w:t>
      </w:r>
      <w:r w:rsidR="00110EB1" w:rsidRPr="00110EB1">
        <w:t>e Vendredi Saint dans les communes ayant un temple protestant ou une église mixte</w:t>
      </w:r>
      <w:r w:rsidR="00110EB1">
        <w:t xml:space="preserve"> et </w:t>
      </w:r>
      <w:r w:rsidR="00110EB1" w:rsidRPr="00110EB1">
        <w:t>le second jour de Noël</w:t>
      </w:r>
      <w:r w:rsidR="00110EB1">
        <w:t xml:space="preserve">) </w:t>
      </w:r>
      <w:r w:rsidR="00C529F0" w:rsidRPr="0082233A">
        <w:t>;</w:t>
      </w:r>
    </w:p>
    <w:p w14:paraId="09225CE4" w14:textId="77777777" w:rsidR="004066E4" w:rsidRDefault="004066E4" w:rsidP="001E4FA2">
      <w:pPr>
        <w:spacing w:after="0" w:line="240" w:lineRule="auto"/>
        <w:ind w:left="705" w:hanging="705"/>
        <w:jc w:val="both"/>
      </w:pPr>
    </w:p>
    <w:p w14:paraId="5874C598" w14:textId="1EECD383" w:rsidR="008D7181" w:rsidRDefault="008D7181" w:rsidP="001E4FA2">
      <w:pPr>
        <w:spacing w:after="0" w:line="240" w:lineRule="auto"/>
        <w:ind w:left="705" w:hanging="705"/>
        <w:jc w:val="both"/>
      </w:pPr>
      <w:r>
        <w:t xml:space="preserve">Considérant que le cas des jours </w:t>
      </w:r>
      <w:r w:rsidR="004066E4">
        <w:t>fériés spécifiques à l’ALSACE-MOSELLE ne diffère pas</w:t>
      </w:r>
      <w:r w:rsidR="00A3143B">
        <w:t xml:space="preserve"> </w:t>
      </w:r>
      <w:r w:rsidR="004066E4">
        <w:t>du cas des autres jours fériés ;</w:t>
      </w:r>
    </w:p>
    <w:p w14:paraId="3722BC45" w14:textId="77777777" w:rsidR="001E4FA2" w:rsidRPr="0082233A" w:rsidRDefault="001E4FA2" w:rsidP="001E4FA2">
      <w:pPr>
        <w:spacing w:after="0" w:line="240" w:lineRule="auto"/>
        <w:ind w:left="705" w:hanging="705"/>
        <w:jc w:val="both"/>
      </w:pPr>
    </w:p>
    <w:p w14:paraId="4A9D66E0" w14:textId="3F57866B" w:rsidR="00A105FB" w:rsidRDefault="00B065B9" w:rsidP="001E4FA2">
      <w:pPr>
        <w:spacing w:after="0" w:line="240" w:lineRule="auto"/>
        <w:ind w:left="705" w:hanging="705"/>
        <w:jc w:val="both"/>
      </w:pPr>
      <w:r w:rsidRPr="00B065B9">
        <w:rPr>
          <w:color w:val="FF0000"/>
        </w:rPr>
        <w:t>(</w:t>
      </w:r>
      <w:proofErr w:type="gramStart"/>
      <w:r w:rsidRPr="00B065B9">
        <w:rPr>
          <w:color w:val="FF0000"/>
        </w:rPr>
        <w:t>et</w:t>
      </w:r>
      <w:proofErr w:type="gramEnd"/>
      <w:r w:rsidRPr="00B065B9">
        <w:rPr>
          <w:color w:val="FF0000"/>
        </w:rPr>
        <w:t xml:space="preserve"> le cas échéant) </w:t>
      </w:r>
      <w:r w:rsidR="0082233A" w:rsidRPr="00B065B9">
        <w:t>Considérant</w:t>
      </w:r>
      <w:r w:rsidR="0082233A" w:rsidRPr="0082233A">
        <w:t xml:space="preserve"> que le décompte actuel du temps de travail des agents publics tient compte de </w:t>
      </w:r>
      <w:r w:rsidR="00110EB1" w:rsidRPr="00110EB1">
        <w:rPr>
          <w:color w:val="FF0000"/>
          <w:highlight w:val="yellow"/>
        </w:rPr>
        <w:t>xx</w:t>
      </w:r>
      <w:r w:rsidR="00110EB1" w:rsidRPr="00110EB1">
        <w:rPr>
          <w:color w:val="FF0000"/>
        </w:rPr>
        <w:t xml:space="preserve"> </w:t>
      </w:r>
      <w:r w:rsidR="0082233A" w:rsidRPr="0082233A">
        <w:t>jours extra-légaux</w:t>
      </w:r>
      <w:r w:rsidR="00110EB1">
        <w:t xml:space="preserve"> </w:t>
      </w:r>
      <w:r w:rsidR="00110EB1" w:rsidRPr="00110EB1">
        <w:t>(</w:t>
      </w:r>
      <w:r w:rsidR="00110EB1">
        <w:t xml:space="preserve">ex : </w:t>
      </w:r>
      <w:r w:rsidR="00110EB1" w:rsidRPr="00110EB1">
        <w:t>jours d’ancienneté, journée(s) du Maire, …)</w:t>
      </w:r>
      <w:r w:rsidR="0082233A" w:rsidRPr="0082233A">
        <w:t> ;</w:t>
      </w:r>
    </w:p>
    <w:p w14:paraId="14897044" w14:textId="77A4947A" w:rsidR="0082233A" w:rsidRDefault="0082233A" w:rsidP="001E4FA2">
      <w:pPr>
        <w:spacing w:after="0" w:line="240" w:lineRule="auto"/>
        <w:ind w:left="705" w:hanging="705"/>
        <w:jc w:val="both"/>
      </w:pPr>
    </w:p>
    <w:p w14:paraId="7FE0F9DD" w14:textId="2090B3A3" w:rsidR="0082233A" w:rsidRDefault="0082233A" w:rsidP="001E4FA2">
      <w:pPr>
        <w:spacing w:after="0" w:line="240" w:lineRule="auto"/>
        <w:ind w:left="705" w:hanging="705"/>
        <w:jc w:val="both"/>
      </w:pPr>
      <w:r>
        <w:lastRenderedPageBreak/>
        <w:t xml:space="preserve">Considérant qu’il convient d’établir le décompte </w:t>
      </w:r>
      <w:r w:rsidRPr="0082233A">
        <w:t>du temps de travail des agents publics sur la base d'une durée annuelle de travail effectif de 1 607 heures</w:t>
      </w:r>
      <w:r>
        <w:t> ;</w:t>
      </w:r>
    </w:p>
    <w:p w14:paraId="6A483E9E" w14:textId="70971B65" w:rsidR="00E20565" w:rsidRDefault="00E20565" w:rsidP="001E4FA2">
      <w:pPr>
        <w:spacing w:after="0" w:line="240" w:lineRule="auto"/>
        <w:ind w:left="705" w:hanging="705"/>
        <w:jc w:val="both"/>
      </w:pPr>
    </w:p>
    <w:p w14:paraId="7002F663" w14:textId="2AB537FE" w:rsidR="00E20565" w:rsidRPr="0082233A" w:rsidRDefault="00E20565" w:rsidP="001E4FA2">
      <w:pPr>
        <w:spacing w:after="0" w:line="240" w:lineRule="auto"/>
        <w:ind w:left="705" w:hanging="705"/>
        <w:jc w:val="both"/>
      </w:pPr>
      <w:r>
        <w:t xml:space="preserve">Considérant que le présent modèle de délibération a été approuvé </w:t>
      </w:r>
      <w:r w:rsidRPr="00E20565">
        <w:t>en date du 16 mars 2021 par le comité technique du Centre de Gestion FPT du Haut-Rhin ;</w:t>
      </w:r>
    </w:p>
    <w:p w14:paraId="138087FA" w14:textId="77777777" w:rsidR="001E4FA2" w:rsidRPr="00DA1DCB" w:rsidRDefault="001E4FA2" w:rsidP="001E4FA2">
      <w:pPr>
        <w:spacing w:after="0" w:line="240" w:lineRule="auto"/>
        <w:ind w:left="705" w:hanging="705"/>
        <w:jc w:val="both"/>
      </w:pPr>
    </w:p>
    <w:p w14:paraId="44ED4B2D" w14:textId="77777777" w:rsidR="00583AE0" w:rsidRPr="00DA1DCB" w:rsidRDefault="00583AE0" w:rsidP="001E4FA2">
      <w:pPr>
        <w:spacing w:after="0" w:line="240" w:lineRule="auto"/>
        <w:jc w:val="center"/>
        <w:rPr>
          <w:b/>
          <w:sz w:val="28"/>
        </w:rPr>
      </w:pPr>
      <w:r w:rsidRPr="00DA1DCB">
        <w:rPr>
          <w:b/>
          <w:sz w:val="36"/>
        </w:rPr>
        <w:t>Décide</w:t>
      </w:r>
    </w:p>
    <w:p w14:paraId="5E69D084" w14:textId="77777777" w:rsidR="001E4FA2" w:rsidRPr="00DA1DCB" w:rsidRDefault="001E4FA2" w:rsidP="001E4FA2">
      <w:pPr>
        <w:spacing w:after="0" w:line="240" w:lineRule="auto"/>
        <w:ind w:left="1410" w:hanging="1410"/>
        <w:jc w:val="both"/>
        <w:rPr>
          <w:u w:val="single"/>
        </w:rPr>
      </w:pPr>
    </w:p>
    <w:p w14:paraId="4122214B" w14:textId="7637D39F" w:rsidR="001E4FA2" w:rsidRPr="001D5F83" w:rsidRDefault="00CD5E8B" w:rsidP="001E4FA2">
      <w:pPr>
        <w:spacing w:after="0" w:line="240" w:lineRule="auto"/>
        <w:ind w:left="1410" w:hanging="1410"/>
        <w:jc w:val="both"/>
      </w:pPr>
      <w:r w:rsidRPr="00DA1DCB">
        <w:rPr>
          <w:u w:val="single"/>
        </w:rPr>
        <w:t>Article 1</w:t>
      </w:r>
      <w:r w:rsidRPr="00DA1DCB">
        <w:rPr>
          <w:u w:val="single"/>
          <w:vertAlign w:val="superscript"/>
        </w:rPr>
        <w:t>er</w:t>
      </w:r>
      <w:r w:rsidRPr="00DA1DCB">
        <w:rPr>
          <w:vertAlign w:val="superscript"/>
        </w:rPr>
        <w:t> </w:t>
      </w:r>
      <w:r w:rsidRPr="00DA1DCB">
        <w:t>:</w:t>
      </w:r>
      <w:r w:rsidRPr="00DA1DCB">
        <w:tab/>
      </w:r>
      <w:r w:rsidR="00AB70E8" w:rsidRPr="00DA1DCB">
        <w:t>À compter du</w:t>
      </w:r>
      <w:proofErr w:type="gramStart"/>
      <w:r w:rsidR="00AB70E8" w:rsidRPr="00DA1DCB">
        <w:t xml:space="preserve"> ..</w:t>
      </w:r>
      <w:proofErr w:type="gramEnd"/>
      <w:r w:rsidR="00AB70E8" w:rsidRPr="00DA1DCB">
        <w:t xml:space="preserve"> / .. / …. </w:t>
      </w:r>
      <w:r w:rsidR="00937000" w:rsidRPr="00DA1DCB">
        <w:rPr>
          <w:color w:val="FF0000"/>
        </w:rPr>
        <w:t>(</w:t>
      </w:r>
      <w:proofErr w:type="gramStart"/>
      <w:r w:rsidR="00937000" w:rsidRPr="00DA1DCB">
        <w:rPr>
          <w:color w:val="FF0000"/>
        </w:rPr>
        <w:t>au</w:t>
      </w:r>
      <w:proofErr w:type="gramEnd"/>
      <w:r w:rsidR="00937000" w:rsidRPr="00DA1DCB">
        <w:rPr>
          <w:color w:val="FF0000"/>
        </w:rPr>
        <w:t xml:space="preserve"> plus tard le 1</w:t>
      </w:r>
      <w:r w:rsidR="00937000" w:rsidRPr="00DA1DCB">
        <w:rPr>
          <w:color w:val="FF0000"/>
          <w:vertAlign w:val="superscript"/>
        </w:rPr>
        <w:t>er</w:t>
      </w:r>
      <w:r w:rsidR="00937000" w:rsidRPr="00DA1DCB">
        <w:rPr>
          <w:color w:val="FF0000"/>
        </w:rPr>
        <w:t xml:space="preserve"> janvier 2022)</w:t>
      </w:r>
      <w:r w:rsidR="00AB70E8" w:rsidRPr="00DA1DCB">
        <w:t xml:space="preserve">, </w:t>
      </w:r>
      <w:bookmarkStart w:id="0" w:name="_Hlk66347330"/>
      <w:r w:rsidR="00DA1DCB" w:rsidRPr="00DA1DCB">
        <w:t xml:space="preserve">le décompte du temps de travail </w:t>
      </w:r>
      <w:r w:rsidR="00DA1DCB" w:rsidRPr="001D5F83">
        <w:t xml:space="preserve">des agents publics </w:t>
      </w:r>
      <w:bookmarkEnd w:id="0"/>
      <w:r w:rsidR="00DA1DCB" w:rsidRPr="001D5F83">
        <w:t>est réalisé sur la base d'une durée annuelle de travail effectif de 1 607 heures, sans préjudice des heures supplémentaires susceptibles d'être effectuées.</w:t>
      </w:r>
    </w:p>
    <w:p w14:paraId="0AA51BCA" w14:textId="7B27C229" w:rsidR="00DA1DCB" w:rsidRPr="001D5F83" w:rsidRDefault="00DA1DCB" w:rsidP="001E4FA2">
      <w:pPr>
        <w:spacing w:after="0" w:line="240" w:lineRule="auto"/>
        <w:ind w:left="1410" w:hanging="141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851"/>
        <w:gridCol w:w="4649"/>
      </w:tblGrid>
      <w:tr w:rsidR="00DA1DCB" w:rsidRPr="001D5F83" w14:paraId="2D05A61C" w14:textId="77777777" w:rsidTr="00C529F0">
        <w:trPr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1B84E10C" w14:textId="77777777" w:rsidR="00DA1DCB" w:rsidRPr="001D5F83" w:rsidRDefault="00DA1DCB" w:rsidP="00DA1D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MS Mincho" w:cs="Aller"/>
              </w:rPr>
            </w:pPr>
            <w:r w:rsidRPr="001D5F83">
              <w:rPr>
                <w:rFonts w:eastAsia="MS Mincho" w:cs="Aller"/>
              </w:rPr>
              <w:t>365 jours annuels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A4F31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MS Mincho" w:cs="Alle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2D7CEFBB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MS Mincho" w:cs="Aller"/>
              </w:rPr>
            </w:pPr>
            <w:r w:rsidRPr="001D5F83">
              <w:rPr>
                <w:rFonts w:eastAsia="MS Mincho" w:cs="Aller"/>
              </w:rPr>
              <w:t>228 jours annuels travaillés</w:t>
            </w:r>
          </w:p>
        </w:tc>
      </w:tr>
      <w:tr w:rsidR="00DA1DCB" w:rsidRPr="001D5F83" w14:paraId="187ABEFD" w14:textId="77777777" w:rsidTr="00C529F0">
        <w:trPr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4CC25D75" w14:textId="77777777" w:rsidR="00DA1DCB" w:rsidRPr="001D5F83" w:rsidRDefault="00DA1DCB" w:rsidP="00C529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MS Mincho" w:cs="Aller"/>
              </w:rPr>
            </w:pPr>
            <w:r w:rsidRPr="001D5F83">
              <w:rPr>
                <w:rFonts w:eastAsia="MS Mincho" w:cs="Aller"/>
              </w:rPr>
              <w:t>104 jours de week-end (52s x 2j)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830D0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center"/>
              <w:rPr>
                <w:rFonts w:eastAsia="MS Mincho" w:cs="Alle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EC57734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eastAsia="MS Mincho" w:cs="Aller"/>
              </w:rPr>
            </w:pPr>
            <w:proofErr w:type="gramStart"/>
            <w:r w:rsidRPr="001D5F83">
              <w:rPr>
                <w:rFonts w:eastAsia="MS Mincho" w:cs="Aller"/>
              </w:rPr>
              <w:t>x</w:t>
            </w:r>
            <w:proofErr w:type="gramEnd"/>
            <w:r w:rsidRPr="001D5F83">
              <w:rPr>
                <w:rFonts w:eastAsia="MS Mincho" w:cs="Aller"/>
              </w:rPr>
              <w:t xml:space="preserve"> 7 heures de travail journalières (35h/5j)</w:t>
            </w:r>
          </w:p>
        </w:tc>
      </w:tr>
      <w:tr w:rsidR="00DA1DCB" w:rsidRPr="001D5F83" w14:paraId="38F43303" w14:textId="77777777" w:rsidTr="00C529F0">
        <w:trPr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37FDB31F" w14:textId="77777777" w:rsidR="00DA1DCB" w:rsidRPr="001D5F83" w:rsidRDefault="00DA1DCB" w:rsidP="00C529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MS Mincho" w:cs="Aller"/>
              </w:rPr>
            </w:pPr>
            <w:r w:rsidRPr="001D5F83">
              <w:rPr>
                <w:rFonts w:eastAsia="MS Mincho" w:cs="Aller"/>
              </w:rPr>
              <w:t>8 jours fériés légaux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D837B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center"/>
              <w:rPr>
                <w:rFonts w:eastAsia="MS Mincho" w:cs="Alle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939C9A4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eastAsia="MS Mincho" w:cs="Aller"/>
              </w:rPr>
            </w:pPr>
            <w:r w:rsidRPr="001D5F83">
              <w:rPr>
                <w:rFonts w:eastAsia="MS Mincho" w:cs="Aller"/>
              </w:rPr>
              <w:t xml:space="preserve">= 1 596 heures annuelles travaillées </w:t>
            </w:r>
          </w:p>
          <w:p w14:paraId="18F98F1E" w14:textId="77777777" w:rsidR="00DA1DCB" w:rsidRPr="001D5F83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eastAsia="MS Mincho" w:cs="Aller"/>
              </w:rPr>
            </w:pPr>
            <w:proofErr w:type="gramStart"/>
            <w:r w:rsidRPr="001D5F83">
              <w:rPr>
                <w:rFonts w:eastAsia="MS Mincho" w:cs="Aller"/>
              </w:rPr>
              <w:t>arrondies</w:t>
            </w:r>
            <w:proofErr w:type="gramEnd"/>
            <w:r w:rsidRPr="001D5F83">
              <w:rPr>
                <w:rFonts w:eastAsia="MS Mincho" w:cs="Aller"/>
              </w:rPr>
              <w:t xml:space="preserve"> à 1 600</w:t>
            </w:r>
            <w:r w:rsidRPr="001D5F83">
              <w:rPr>
                <w:rFonts w:ascii="Cambria" w:eastAsia="MS Mincho" w:hAnsi="Cambria"/>
                <w:sz w:val="24"/>
                <w:szCs w:val="24"/>
                <w:lang w:val="en-GB"/>
              </w:rPr>
              <w:t xml:space="preserve"> </w:t>
            </w:r>
            <w:r w:rsidRPr="001D5F83">
              <w:rPr>
                <w:rFonts w:eastAsia="MS Mincho" w:cs="Aller"/>
              </w:rPr>
              <w:t>heures</w:t>
            </w:r>
          </w:p>
        </w:tc>
      </w:tr>
      <w:tr w:rsidR="00DA1DCB" w:rsidRPr="001D5F83" w14:paraId="6D098F61" w14:textId="77777777" w:rsidTr="00C529F0">
        <w:trPr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0B55CE03" w14:textId="77777777" w:rsidR="00DA1DCB" w:rsidRPr="00B065B9" w:rsidRDefault="00DA1DCB" w:rsidP="00C529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MS Mincho" w:cs="Aller"/>
              </w:rPr>
            </w:pPr>
            <w:r w:rsidRPr="00B065B9">
              <w:rPr>
                <w:rFonts w:eastAsia="MS Mincho" w:cs="Aller"/>
              </w:rPr>
              <w:t>25 jours de congés annuels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D0D59" w14:textId="77777777" w:rsidR="00DA1DCB" w:rsidRPr="00B065B9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center"/>
              <w:rPr>
                <w:rFonts w:eastAsia="MS Mincho" w:cs="Alle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685FB61" w14:textId="77777777" w:rsidR="00DA1DCB" w:rsidRPr="00B065B9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eastAsia="MS Mincho" w:cs="Aller"/>
              </w:rPr>
            </w:pPr>
            <w:r w:rsidRPr="00B065B9">
              <w:rPr>
                <w:rFonts w:eastAsia="MS Mincho" w:cs="Aller"/>
              </w:rPr>
              <w:t>+ 7 heures (journée de solidarité)</w:t>
            </w:r>
          </w:p>
        </w:tc>
      </w:tr>
      <w:tr w:rsidR="00DA1DCB" w:rsidRPr="001D5F83" w14:paraId="19592787" w14:textId="77777777" w:rsidTr="00C529F0">
        <w:trPr>
          <w:trHeight w:val="70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22CE5F98" w14:textId="77777777" w:rsidR="00DA1DCB" w:rsidRPr="00B065B9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MS Mincho" w:cs="Aller"/>
              </w:rPr>
            </w:pPr>
            <w:r w:rsidRPr="00B065B9">
              <w:rPr>
                <w:rFonts w:eastAsia="MS Mincho" w:cs="Aller"/>
              </w:rPr>
              <w:t>= 228 jours annuels travaillés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61EA9" w14:textId="77777777" w:rsidR="00DA1DCB" w:rsidRPr="00B065B9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center"/>
              <w:rPr>
                <w:rFonts w:eastAsia="MS Mincho" w:cs="Aller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1432E6F" w14:textId="77777777" w:rsidR="00DA1DCB" w:rsidRPr="00B065B9" w:rsidRDefault="00DA1DCB" w:rsidP="00C529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center"/>
              <w:rPr>
                <w:rFonts w:eastAsia="MS Mincho" w:cs="Aller"/>
              </w:rPr>
            </w:pPr>
            <w:r w:rsidRPr="00B065B9">
              <w:rPr>
                <w:rFonts w:eastAsia="MS Mincho" w:cs="Aller"/>
              </w:rPr>
              <w:t>= 1 607 heures annuelles travaillées</w:t>
            </w:r>
          </w:p>
        </w:tc>
      </w:tr>
    </w:tbl>
    <w:p w14:paraId="24E33F0B" w14:textId="77777777" w:rsidR="00DA1DCB" w:rsidRPr="001D5F83" w:rsidRDefault="00DA1DCB" w:rsidP="001E4FA2">
      <w:pPr>
        <w:spacing w:after="0" w:line="240" w:lineRule="auto"/>
        <w:ind w:left="1410" w:hanging="1410"/>
        <w:jc w:val="both"/>
      </w:pPr>
    </w:p>
    <w:p w14:paraId="138CBFB4" w14:textId="0AA47036" w:rsidR="001D5F83" w:rsidRDefault="00AB70E8" w:rsidP="001E4FA2">
      <w:pPr>
        <w:spacing w:after="0" w:line="240" w:lineRule="auto"/>
        <w:ind w:left="1410" w:hanging="1410"/>
        <w:jc w:val="both"/>
      </w:pPr>
      <w:r w:rsidRPr="001D5F83">
        <w:rPr>
          <w:u w:val="single"/>
        </w:rPr>
        <w:t>Article 2</w:t>
      </w:r>
      <w:r w:rsidRPr="001D5F83">
        <w:t> :</w:t>
      </w:r>
      <w:r w:rsidRPr="001D5F83">
        <w:tab/>
      </w:r>
      <w:r w:rsidR="00A3143B" w:rsidRPr="00A3143B">
        <w:rPr>
          <w:color w:val="FF0000"/>
        </w:rPr>
        <w:t>(</w:t>
      </w:r>
      <w:r w:rsidR="00B065B9">
        <w:rPr>
          <w:color w:val="FF0000"/>
        </w:rPr>
        <w:t xml:space="preserve">et </w:t>
      </w:r>
      <w:r w:rsidR="00A3143B" w:rsidRPr="00A3143B">
        <w:rPr>
          <w:color w:val="FF0000"/>
        </w:rPr>
        <w:t>le cas échéant)</w:t>
      </w:r>
      <w:r w:rsidR="00A3143B">
        <w:t xml:space="preserve"> </w:t>
      </w:r>
      <w:r w:rsidR="001D5F83" w:rsidRPr="001D5F83">
        <w:t>À compter du</w:t>
      </w:r>
      <w:proofErr w:type="gramStart"/>
      <w:r w:rsidR="001D5F83" w:rsidRPr="001D5F83">
        <w:t xml:space="preserve"> ..</w:t>
      </w:r>
      <w:proofErr w:type="gramEnd"/>
      <w:r w:rsidR="001D5F83" w:rsidRPr="001D5F83">
        <w:t xml:space="preserve"> / .. / …. </w:t>
      </w:r>
      <w:r w:rsidR="001D5F83" w:rsidRPr="001D5F83">
        <w:rPr>
          <w:color w:val="FF0000"/>
        </w:rPr>
        <w:t>(</w:t>
      </w:r>
      <w:proofErr w:type="gramStart"/>
      <w:r w:rsidR="001D5F83" w:rsidRPr="001D5F83">
        <w:rPr>
          <w:color w:val="FF0000"/>
        </w:rPr>
        <w:t>au</w:t>
      </w:r>
      <w:proofErr w:type="gramEnd"/>
      <w:r w:rsidR="001D5F83" w:rsidRPr="001D5F83">
        <w:rPr>
          <w:color w:val="FF0000"/>
        </w:rPr>
        <w:t xml:space="preserve"> plus tard le 1</w:t>
      </w:r>
      <w:r w:rsidR="001D5F83" w:rsidRPr="001D5F83">
        <w:rPr>
          <w:color w:val="FF0000"/>
          <w:vertAlign w:val="superscript"/>
        </w:rPr>
        <w:t>er</w:t>
      </w:r>
      <w:r w:rsidR="001D5F83" w:rsidRPr="001D5F83">
        <w:rPr>
          <w:color w:val="FF0000"/>
        </w:rPr>
        <w:t xml:space="preserve"> janvier 2022</w:t>
      </w:r>
      <w:r w:rsidR="001D5F83">
        <w:rPr>
          <w:color w:val="FF0000"/>
        </w:rPr>
        <w:t>)</w:t>
      </w:r>
      <w:r w:rsidR="00A3143B" w:rsidRPr="00A3143B">
        <w:t>,</w:t>
      </w:r>
      <w:r w:rsidR="001D5F83" w:rsidRPr="001D5F83">
        <w:t xml:space="preserve"> </w:t>
      </w:r>
      <w:r w:rsidR="005703D5">
        <w:t xml:space="preserve">la délibération du .. / .. / …. </w:t>
      </w:r>
      <w:proofErr w:type="gramStart"/>
      <w:r w:rsidR="00B065B9">
        <w:t>relative</w:t>
      </w:r>
      <w:proofErr w:type="gramEnd"/>
      <w:r w:rsidR="00B065B9">
        <w:t xml:space="preserve"> </w:t>
      </w:r>
      <w:r w:rsidR="00977E0C">
        <w:t xml:space="preserve">au </w:t>
      </w:r>
      <w:r w:rsidR="00B065B9" w:rsidRPr="00B065B9">
        <w:t>décompte du temps de travail des agents publics</w:t>
      </w:r>
      <w:r w:rsidR="00B065B9">
        <w:t xml:space="preserve"> </w:t>
      </w:r>
      <w:r w:rsidR="001D5F83">
        <w:t>est abrogée</w:t>
      </w:r>
      <w:r w:rsidR="00A3143B">
        <w:t xml:space="preserve">, laquelle </w:t>
      </w:r>
      <w:r w:rsidR="00B065B9">
        <w:t>emporte</w:t>
      </w:r>
      <w:r w:rsidR="00A3143B">
        <w:t xml:space="preserve"> la suppression d</w:t>
      </w:r>
      <w:r w:rsidR="00A3143B" w:rsidRPr="00A3143B">
        <w:t xml:space="preserve">es </w:t>
      </w:r>
      <w:r w:rsidR="00A3143B" w:rsidRPr="00A3143B">
        <w:rPr>
          <w:color w:val="FF0000"/>
          <w:highlight w:val="yellow"/>
        </w:rPr>
        <w:t>xx</w:t>
      </w:r>
      <w:r w:rsidR="00A3143B" w:rsidRPr="00A3143B">
        <w:rPr>
          <w:color w:val="FF0000"/>
        </w:rPr>
        <w:t xml:space="preserve"> </w:t>
      </w:r>
      <w:r w:rsidR="00A3143B" w:rsidRPr="00A3143B">
        <w:t xml:space="preserve">jours extra-légaux accordés </w:t>
      </w:r>
      <w:r w:rsidR="00B065B9">
        <w:t xml:space="preserve">aux </w:t>
      </w:r>
      <w:r w:rsidR="00A3143B" w:rsidRPr="00A3143B">
        <w:t>agents publics.</w:t>
      </w:r>
    </w:p>
    <w:p w14:paraId="4B7F49DD" w14:textId="6D4191F4" w:rsidR="008D7181" w:rsidRDefault="008D7181" w:rsidP="001E4FA2">
      <w:pPr>
        <w:spacing w:after="0" w:line="240" w:lineRule="auto"/>
        <w:ind w:left="1410" w:hanging="1410"/>
        <w:jc w:val="both"/>
      </w:pPr>
    </w:p>
    <w:p w14:paraId="0BB8C1BB" w14:textId="77777777" w:rsidR="00146A8B" w:rsidRPr="00DA1DCB" w:rsidRDefault="00146A8B" w:rsidP="001E4FA2">
      <w:pPr>
        <w:spacing w:after="0" w:line="240" w:lineRule="auto"/>
        <w:ind w:left="1410" w:hanging="1410"/>
        <w:jc w:val="both"/>
      </w:pPr>
      <w:r w:rsidRPr="001D5F83">
        <w:t>Ainsi fait et délibéré les jour</w:t>
      </w:r>
      <w:r w:rsidRPr="00DA1DCB">
        <w:t>, mois et an ci-dessous.</w:t>
      </w:r>
    </w:p>
    <w:p w14:paraId="49ECC879" w14:textId="77777777" w:rsidR="001E4FA2" w:rsidRPr="00DA1DCB" w:rsidRDefault="001E4FA2" w:rsidP="001E4FA2">
      <w:pPr>
        <w:spacing w:after="0"/>
        <w:ind w:left="4536"/>
        <w:jc w:val="both"/>
      </w:pPr>
    </w:p>
    <w:p w14:paraId="1BD3A3E0" w14:textId="77777777" w:rsidR="00146A8B" w:rsidRPr="00DA1DCB" w:rsidRDefault="00146A8B" w:rsidP="001E4FA2">
      <w:pPr>
        <w:spacing w:after="0"/>
        <w:ind w:left="4536"/>
        <w:jc w:val="both"/>
      </w:pPr>
      <w:r w:rsidRPr="00DA1DCB">
        <w:t xml:space="preserve">Fait à </w:t>
      </w:r>
      <w:r w:rsidR="00C27E8F" w:rsidRPr="00DA1DCB">
        <w:t>……………, l</w:t>
      </w:r>
      <w:r w:rsidRPr="00DA1DCB">
        <w:t xml:space="preserve">e </w:t>
      </w:r>
      <w:r w:rsidR="00C27E8F" w:rsidRPr="00DA1DCB">
        <w:t>……………</w:t>
      </w:r>
    </w:p>
    <w:p w14:paraId="21427AA7" w14:textId="77777777" w:rsidR="00FA1EDB" w:rsidRPr="00DA1DCB" w:rsidRDefault="00FA1EDB" w:rsidP="001E4FA2">
      <w:pPr>
        <w:spacing w:after="0"/>
        <w:ind w:left="4536"/>
        <w:jc w:val="both"/>
      </w:pPr>
    </w:p>
    <w:p w14:paraId="0E682DF1" w14:textId="77777777" w:rsidR="00146A8B" w:rsidRPr="00DA1DCB" w:rsidRDefault="00146A8B" w:rsidP="001E4FA2">
      <w:pPr>
        <w:spacing w:after="0"/>
        <w:ind w:left="4536"/>
        <w:jc w:val="both"/>
      </w:pPr>
      <w:r w:rsidRPr="00DA1DCB">
        <w:t>L’autorité territoriale</w:t>
      </w:r>
    </w:p>
    <w:p w14:paraId="4DB71EC9" w14:textId="77777777" w:rsidR="00C27E8F" w:rsidRPr="00DA1DCB" w:rsidRDefault="00C27E8F" w:rsidP="001E4FA2">
      <w:pPr>
        <w:spacing w:after="0"/>
        <w:ind w:left="4536"/>
        <w:jc w:val="both"/>
      </w:pPr>
    </w:p>
    <w:p w14:paraId="0524F39E" w14:textId="77777777" w:rsidR="00146A8B" w:rsidRPr="00DA1DCB" w:rsidRDefault="00146A8B" w:rsidP="001E4FA2">
      <w:pPr>
        <w:spacing w:after="0" w:line="240" w:lineRule="auto"/>
        <w:jc w:val="both"/>
      </w:pPr>
      <w:r w:rsidRPr="00DA1DCB">
        <w:t>Une ampliation de la présente délibération sera adressée :</w:t>
      </w:r>
    </w:p>
    <w:p w14:paraId="75A2ABC4" w14:textId="77777777" w:rsidR="00146A8B" w:rsidRPr="00DA1DCB" w:rsidRDefault="00FA1EDB" w:rsidP="001E4FA2">
      <w:pPr>
        <w:pStyle w:val="Paragraphedeliste"/>
        <w:numPr>
          <w:ilvl w:val="0"/>
          <w:numId w:val="3"/>
        </w:numPr>
        <w:spacing w:after="0" w:line="240" w:lineRule="auto"/>
        <w:jc w:val="both"/>
      </w:pPr>
      <w:proofErr w:type="gramStart"/>
      <w:r w:rsidRPr="00DA1DCB">
        <w:t>a</w:t>
      </w:r>
      <w:r w:rsidR="00146A8B" w:rsidRPr="00DA1DCB">
        <w:t>u</w:t>
      </w:r>
      <w:proofErr w:type="gramEnd"/>
      <w:r w:rsidR="00146A8B" w:rsidRPr="00DA1DCB">
        <w:t xml:space="preserve"> Représentant de l’État ;</w:t>
      </w:r>
    </w:p>
    <w:p w14:paraId="7CA48752" w14:textId="77777777" w:rsidR="00146A8B" w:rsidRPr="00DA1DCB" w:rsidRDefault="00FA1EDB" w:rsidP="001E4FA2">
      <w:pPr>
        <w:pStyle w:val="Paragraphedeliste"/>
        <w:numPr>
          <w:ilvl w:val="0"/>
          <w:numId w:val="3"/>
        </w:numPr>
        <w:spacing w:after="0" w:line="240" w:lineRule="auto"/>
        <w:jc w:val="both"/>
      </w:pPr>
      <w:proofErr w:type="gramStart"/>
      <w:r w:rsidRPr="00DA1DCB">
        <w:t>a</w:t>
      </w:r>
      <w:r w:rsidR="00F016BC" w:rsidRPr="00DA1DCB">
        <w:t>u</w:t>
      </w:r>
      <w:proofErr w:type="gramEnd"/>
      <w:r w:rsidR="00F016BC" w:rsidRPr="00DA1DCB">
        <w:t xml:space="preserve"> Président </w:t>
      </w:r>
      <w:r w:rsidRPr="00DA1DCB">
        <w:t>d</w:t>
      </w:r>
      <w:r w:rsidR="00146A8B" w:rsidRPr="00DA1DCB">
        <w:t>u Centre de Gestion FPT du Haut-Rhin.</w:t>
      </w:r>
    </w:p>
    <w:p w14:paraId="4EE83E36" w14:textId="77777777" w:rsidR="00C27E8F" w:rsidRPr="00DA1DCB" w:rsidRDefault="00C27E8F" w:rsidP="001E4FA2">
      <w:pPr>
        <w:spacing w:after="0" w:line="240" w:lineRule="auto"/>
        <w:jc w:val="both"/>
      </w:pPr>
    </w:p>
    <w:p w14:paraId="3EA78D56" w14:textId="77777777" w:rsidR="00146A8B" w:rsidRPr="00DA1DCB" w:rsidRDefault="00146A8B" w:rsidP="001E4FA2">
      <w:pPr>
        <w:spacing w:after="0"/>
        <w:jc w:val="both"/>
      </w:pPr>
      <w:r w:rsidRPr="00DA1DCB">
        <w:t>Délibération rendue exécutoire par publication à compter du</w:t>
      </w:r>
      <w:proofErr w:type="gramStart"/>
      <w:r w:rsidRPr="00DA1DCB">
        <w:t xml:space="preserve"> </w:t>
      </w:r>
      <w:r w:rsidR="00C27E8F" w:rsidRPr="00DA1DCB">
        <w:t>..</w:t>
      </w:r>
      <w:proofErr w:type="gramEnd"/>
      <w:r w:rsidR="00C27E8F" w:rsidRPr="00DA1DCB">
        <w:t xml:space="preserve"> / .. / …. .</w:t>
      </w:r>
    </w:p>
    <w:p w14:paraId="3CE5EF6A" w14:textId="77777777" w:rsidR="00C27E8F" w:rsidRPr="00DA1DCB" w:rsidRDefault="00C27E8F" w:rsidP="001E4FA2">
      <w:pPr>
        <w:spacing w:after="0"/>
        <w:jc w:val="both"/>
      </w:pPr>
    </w:p>
    <w:p w14:paraId="5C1E80CF" w14:textId="77777777" w:rsidR="00146A8B" w:rsidRDefault="00146A8B" w:rsidP="001E4FA2">
      <w:pPr>
        <w:spacing w:after="0"/>
        <w:jc w:val="both"/>
      </w:pPr>
      <w:r w:rsidRPr="00DA1DCB">
        <w:t xml:space="preserve">L’autorité territoriale informe que la présente délibération peut faire l’objet d’un recours pour excès de pouvoir devant le Tribunal Administratif </w:t>
      </w:r>
      <w:r w:rsidR="0070507F" w:rsidRPr="00DA1DCB">
        <w:t xml:space="preserve">de STRASBOURG </w:t>
      </w:r>
      <w:r w:rsidRPr="00DA1DCB">
        <w:t>dans un délai de 2 mois, à compter de la présente publication.</w:t>
      </w:r>
    </w:p>
    <w:sectPr w:rsidR="00146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528D" w14:textId="77777777" w:rsidR="00583AE0" w:rsidRDefault="00583AE0" w:rsidP="00583AE0">
      <w:pPr>
        <w:spacing w:after="0" w:line="240" w:lineRule="auto"/>
      </w:pPr>
      <w:r>
        <w:separator/>
      </w:r>
    </w:p>
  </w:endnote>
  <w:endnote w:type="continuationSeparator" w:id="0">
    <w:p w14:paraId="624D5B9F" w14:textId="77777777" w:rsidR="00583AE0" w:rsidRDefault="00583AE0" w:rsidP="0058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2859" w14:textId="77777777" w:rsidR="00C62D02" w:rsidRDefault="00C62D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A315" w14:textId="77777777" w:rsidR="00C62D02" w:rsidRDefault="00C62D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E5C4" w14:textId="77777777" w:rsidR="00C62D02" w:rsidRDefault="00C62D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7419" w14:textId="77777777" w:rsidR="00583AE0" w:rsidRDefault="00583AE0" w:rsidP="00583AE0">
      <w:pPr>
        <w:spacing w:after="0" w:line="240" w:lineRule="auto"/>
      </w:pPr>
      <w:r>
        <w:separator/>
      </w:r>
    </w:p>
  </w:footnote>
  <w:footnote w:type="continuationSeparator" w:id="0">
    <w:p w14:paraId="5549C900" w14:textId="77777777" w:rsidR="00583AE0" w:rsidRDefault="00583AE0" w:rsidP="0058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4F5E" w14:textId="77777777" w:rsidR="00C62D02" w:rsidRDefault="00C62D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9AB4" w14:textId="040F2DAC" w:rsidR="00C62D02" w:rsidRDefault="00C62D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C23B" w14:textId="77777777" w:rsidR="00C62D02" w:rsidRDefault="00C62D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692"/>
    <w:multiLevelType w:val="hybridMultilevel"/>
    <w:tmpl w:val="862A9482"/>
    <w:lvl w:ilvl="0" w:tplc="C07C0C48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0F92669"/>
    <w:multiLevelType w:val="hybridMultilevel"/>
    <w:tmpl w:val="82FA2CBE"/>
    <w:lvl w:ilvl="0" w:tplc="D378181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4B7A"/>
    <w:multiLevelType w:val="hybridMultilevel"/>
    <w:tmpl w:val="4C1089AC"/>
    <w:lvl w:ilvl="0" w:tplc="96C46C26">
      <w:start w:val="2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53D25A3"/>
    <w:multiLevelType w:val="hybridMultilevel"/>
    <w:tmpl w:val="2706652E"/>
    <w:lvl w:ilvl="0" w:tplc="1FD8238C">
      <w:start w:val="3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5BF4"/>
    <w:multiLevelType w:val="hybridMultilevel"/>
    <w:tmpl w:val="2E74662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199E"/>
    <w:multiLevelType w:val="hybridMultilevel"/>
    <w:tmpl w:val="D38EA122"/>
    <w:lvl w:ilvl="0" w:tplc="7F067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D4AB0"/>
    <w:multiLevelType w:val="hybridMultilevel"/>
    <w:tmpl w:val="6388B1D6"/>
    <w:lvl w:ilvl="0" w:tplc="B558909E">
      <w:start w:val="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7DE5DED"/>
    <w:multiLevelType w:val="hybridMultilevel"/>
    <w:tmpl w:val="70C0072A"/>
    <w:lvl w:ilvl="0" w:tplc="3DB6D0E4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E0"/>
    <w:rsid w:val="00055E49"/>
    <w:rsid w:val="00093A3D"/>
    <w:rsid w:val="00094367"/>
    <w:rsid w:val="00110EB1"/>
    <w:rsid w:val="00115192"/>
    <w:rsid w:val="00132908"/>
    <w:rsid w:val="00146A8B"/>
    <w:rsid w:val="001C119A"/>
    <w:rsid w:val="001D5F83"/>
    <w:rsid w:val="001E4FA2"/>
    <w:rsid w:val="001E67C0"/>
    <w:rsid w:val="00366290"/>
    <w:rsid w:val="004066E4"/>
    <w:rsid w:val="004E29D6"/>
    <w:rsid w:val="00513E3A"/>
    <w:rsid w:val="005703D5"/>
    <w:rsid w:val="00583AE0"/>
    <w:rsid w:val="005B1B92"/>
    <w:rsid w:val="005B4152"/>
    <w:rsid w:val="006E7E9C"/>
    <w:rsid w:val="0070507F"/>
    <w:rsid w:val="0078238A"/>
    <w:rsid w:val="0079719A"/>
    <w:rsid w:val="0082233A"/>
    <w:rsid w:val="008D7181"/>
    <w:rsid w:val="00937000"/>
    <w:rsid w:val="00977E0C"/>
    <w:rsid w:val="00992A0F"/>
    <w:rsid w:val="00A105FB"/>
    <w:rsid w:val="00A3143B"/>
    <w:rsid w:val="00AB70E8"/>
    <w:rsid w:val="00AF455C"/>
    <w:rsid w:val="00B065B9"/>
    <w:rsid w:val="00B90FEE"/>
    <w:rsid w:val="00BD1FF3"/>
    <w:rsid w:val="00BF0E2A"/>
    <w:rsid w:val="00C27E8F"/>
    <w:rsid w:val="00C529F0"/>
    <w:rsid w:val="00C62D02"/>
    <w:rsid w:val="00C94DE9"/>
    <w:rsid w:val="00CD5E8B"/>
    <w:rsid w:val="00D05E50"/>
    <w:rsid w:val="00D07309"/>
    <w:rsid w:val="00D30FEE"/>
    <w:rsid w:val="00DA1DCB"/>
    <w:rsid w:val="00DA7B99"/>
    <w:rsid w:val="00DB65ED"/>
    <w:rsid w:val="00E20565"/>
    <w:rsid w:val="00F016BC"/>
    <w:rsid w:val="00F02B06"/>
    <w:rsid w:val="00F705B7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D76A9"/>
  <w15:docId w15:val="{593EAC3B-6B9D-41AE-B452-989184E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E0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AE0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AE0"/>
    <w:rPr>
      <w:rFonts w:ascii="Calibri" w:eastAsia="Times New Roman" w:hAnsi="Calibri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9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D157-CC47-421A-B06F-E50D01E7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ROECKEL</dc:creator>
  <cp:lastModifiedBy>Mathieu Roeckel</cp:lastModifiedBy>
  <cp:revision>27</cp:revision>
  <dcterms:created xsi:type="dcterms:W3CDTF">2016-08-03T12:32:00Z</dcterms:created>
  <dcterms:modified xsi:type="dcterms:W3CDTF">2021-12-21T09:11:00Z</dcterms:modified>
</cp:coreProperties>
</file>